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宋体" w:hAnsi="宋体"/>
          <w:b/>
          <w:bCs/>
          <w:sz w:val="36"/>
          <w:szCs w:val="36"/>
        </w:rPr>
      </w:pPr>
    </w:p>
    <w:p>
      <w:pPr>
        <w:jc w:val="center"/>
        <w:rPr>
          <w:rFonts w:hint="eastAsia" w:ascii="宋体" w:hAnsi="宋体"/>
          <w:b/>
          <w:bCs/>
          <w:sz w:val="36"/>
          <w:szCs w:val="36"/>
        </w:rPr>
      </w:pPr>
    </w:p>
    <w:p>
      <w:pPr>
        <w:jc w:val="center"/>
        <w:rPr>
          <w:rFonts w:hint="eastAsia" w:ascii="宋体" w:hAnsi="宋体"/>
          <w:b/>
          <w:bCs/>
          <w:sz w:val="36"/>
          <w:szCs w:val="36"/>
        </w:rPr>
      </w:pPr>
      <w:r>
        <w:rPr>
          <w:rFonts w:hint="eastAsia" w:ascii="宋体" w:hAnsi="宋体"/>
          <w:b/>
          <w:bCs/>
          <w:sz w:val="36"/>
          <w:szCs w:val="36"/>
        </w:rPr>
        <w:t>石河子大学精品</w:t>
      </w:r>
      <w:r>
        <w:rPr>
          <w:rFonts w:ascii="宋体" w:hAnsi="宋体"/>
          <w:b/>
          <w:bCs/>
          <w:sz w:val="36"/>
          <w:szCs w:val="36"/>
        </w:rPr>
        <w:t>课程</w:t>
      </w:r>
      <w:r>
        <w:rPr>
          <w:rFonts w:hint="eastAsia" w:ascii="宋体" w:hAnsi="宋体"/>
          <w:b/>
          <w:bCs/>
          <w:sz w:val="36"/>
          <w:szCs w:val="36"/>
          <w:lang w:eastAsia="zh-CN"/>
        </w:rPr>
        <w:t>《色彩画》</w:t>
      </w:r>
      <w:r>
        <w:rPr>
          <w:rFonts w:hint="eastAsia" w:ascii="宋体" w:hAnsi="宋体"/>
          <w:b/>
          <w:bCs/>
          <w:sz w:val="36"/>
          <w:szCs w:val="36"/>
          <w:lang w:val="en-US" w:eastAsia="zh-CN"/>
        </w:rPr>
        <w:t>2015年</w:t>
      </w:r>
      <w:r>
        <w:rPr>
          <w:rFonts w:ascii="宋体" w:hAnsi="宋体"/>
          <w:b/>
          <w:bCs/>
          <w:sz w:val="36"/>
          <w:szCs w:val="36"/>
        </w:rPr>
        <w:t>建设总结</w:t>
      </w: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rPr>
          <w:rFonts w:hint="eastAsia" w:ascii="宋体" w:hAnsi="宋体"/>
          <w:b/>
          <w:sz w:val="36"/>
          <w:szCs w:val="36"/>
        </w:rPr>
      </w:pPr>
    </w:p>
    <w:tbl>
      <w:tblPr>
        <w:tblStyle w:val="5"/>
        <w:tblW w:w="8522" w:type="dxa"/>
        <w:jc w:val="center"/>
        <w:tblInd w:w="0" w:type="dxa"/>
        <w:tblLayout w:type="fixed"/>
        <w:tblCellMar>
          <w:top w:w="0" w:type="dxa"/>
          <w:left w:w="108" w:type="dxa"/>
          <w:bottom w:w="0" w:type="dxa"/>
          <w:right w:w="108" w:type="dxa"/>
        </w:tblCellMar>
      </w:tblPr>
      <w:tblGrid>
        <w:gridCol w:w="2575"/>
        <w:gridCol w:w="5947"/>
      </w:tblGrid>
      <w:tr>
        <w:tblPrEx>
          <w:tblLayout w:type="fixed"/>
          <w:tblCellMar>
            <w:top w:w="0" w:type="dxa"/>
            <w:left w:w="108" w:type="dxa"/>
            <w:bottom w:w="0" w:type="dxa"/>
            <w:right w:w="108" w:type="dxa"/>
          </w:tblCellMar>
        </w:tblPrEx>
        <w:trPr>
          <w:jc w:val="center"/>
        </w:trPr>
        <w:tc>
          <w:tcPr>
            <w:tcW w:w="2575" w:type="dxa"/>
            <w:shd w:val="clear" w:color="auto" w:fill="auto"/>
          </w:tcPr>
          <w:p>
            <w:pPr>
              <w:spacing w:line="480" w:lineRule="auto"/>
              <w:jc w:val="distribute"/>
              <w:rPr>
                <w:rFonts w:hint="eastAsia" w:ascii="仿宋_GB2312" w:eastAsia="仿宋_GB2312"/>
                <w:sz w:val="28"/>
                <w:szCs w:val="28"/>
              </w:rPr>
            </w:pPr>
            <w:r>
              <w:rPr>
                <w:rFonts w:hint="eastAsia" w:ascii="仿宋_GB2312" w:eastAsia="仿宋_GB2312"/>
                <w:sz w:val="28"/>
                <w:szCs w:val="28"/>
              </w:rPr>
              <w:t>所属学院（盖章）</w:t>
            </w:r>
          </w:p>
        </w:tc>
        <w:tc>
          <w:tcPr>
            <w:tcW w:w="5947" w:type="dxa"/>
            <w:tcBorders>
              <w:bottom w:val="single" w:color="auto" w:sz="4" w:space="0"/>
            </w:tcBorders>
            <w:shd w:val="clear" w:color="auto" w:fill="auto"/>
          </w:tcPr>
          <w:p>
            <w:pPr>
              <w:spacing w:line="480" w:lineRule="auto"/>
              <w:jc w:val="center"/>
              <w:rPr>
                <w:rFonts w:hint="eastAsia" w:ascii="仿宋_GB2312" w:eastAsia="仿宋_GB2312"/>
                <w:color w:val="000000"/>
                <w:sz w:val="28"/>
                <w:szCs w:val="28"/>
              </w:rPr>
            </w:pPr>
            <w:r>
              <w:rPr>
                <w:rFonts w:hint="eastAsia" w:ascii="仿宋_GB2312" w:eastAsia="仿宋_GB2312"/>
                <w:color w:val="000000"/>
                <w:sz w:val="28"/>
                <w:szCs w:val="28"/>
              </w:rPr>
              <w:t>文学艺术学院</w:t>
            </w:r>
          </w:p>
        </w:tc>
      </w:tr>
      <w:tr>
        <w:tblPrEx>
          <w:tblLayout w:type="fixed"/>
          <w:tblCellMar>
            <w:top w:w="0" w:type="dxa"/>
            <w:left w:w="108" w:type="dxa"/>
            <w:bottom w:w="0" w:type="dxa"/>
            <w:right w:w="108" w:type="dxa"/>
          </w:tblCellMar>
        </w:tblPrEx>
        <w:trPr>
          <w:jc w:val="center"/>
        </w:trPr>
        <w:tc>
          <w:tcPr>
            <w:tcW w:w="2575" w:type="dxa"/>
            <w:shd w:val="clear" w:color="auto" w:fill="auto"/>
          </w:tcPr>
          <w:p>
            <w:pPr>
              <w:spacing w:line="480" w:lineRule="auto"/>
              <w:jc w:val="distribute"/>
              <w:rPr>
                <w:rFonts w:hint="eastAsia" w:ascii="仿宋_GB2312" w:eastAsia="仿宋_GB2312"/>
                <w:sz w:val="28"/>
                <w:szCs w:val="28"/>
              </w:rPr>
            </w:pPr>
            <w:r>
              <w:rPr>
                <w:rFonts w:hint="eastAsia" w:ascii="仿宋_GB2312" w:eastAsia="仿宋_GB2312"/>
                <w:sz w:val="28"/>
                <w:szCs w:val="28"/>
              </w:rPr>
              <w:t>课程名称</w:t>
            </w:r>
          </w:p>
        </w:tc>
        <w:tc>
          <w:tcPr>
            <w:tcW w:w="5947" w:type="dxa"/>
            <w:tcBorders>
              <w:top w:val="single" w:color="auto" w:sz="4" w:space="0"/>
              <w:bottom w:val="single" w:color="auto" w:sz="4" w:space="0"/>
            </w:tcBorders>
            <w:shd w:val="clear" w:color="auto" w:fill="auto"/>
          </w:tcPr>
          <w:p>
            <w:pPr>
              <w:spacing w:line="480" w:lineRule="auto"/>
              <w:jc w:val="center"/>
              <w:rPr>
                <w:rFonts w:hint="eastAsia" w:ascii="仿宋_GB2312" w:eastAsia="仿宋_GB2312"/>
                <w:sz w:val="28"/>
                <w:szCs w:val="28"/>
              </w:rPr>
            </w:pPr>
            <w:r>
              <w:rPr>
                <w:rFonts w:hint="eastAsia" w:ascii="仿宋_GB2312" w:eastAsia="仿宋_GB2312"/>
                <w:sz w:val="28"/>
                <w:szCs w:val="28"/>
              </w:rPr>
              <w:t>色彩画</w:t>
            </w:r>
          </w:p>
        </w:tc>
      </w:tr>
      <w:tr>
        <w:tblPrEx>
          <w:tblLayout w:type="fixed"/>
          <w:tblCellMar>
            <w:top w:w="0" w:type="dxa"/>
            <w:left w:w="108" w:type="dxa"/>
            <w:bottom w:w="0" w:type="dxa"/>
            <w:right w:w="108" w:type="dxa"/>
          </w:tblCellMar>
        </w:tblPrEx>
        <w:trPr>
          <w:jc w:val="center"/>
        </w:trPr>
        <w:tc>
          <w:tcPr>
            <w:tcW w:w="2575" w:type="dxa"/>
            <w:shd w:val="clear" w:color="auto" w:fill="auto"/>
          </w:tcPr>
          <w:p>
            <w:pPr>
              <w:spacing w:line="480" w:lineRule="auto"/>
              <w:jc w:val="distribute"/>
              <w:rPr>
                <w:rFonts w:hint="eastAsia" w:ascii="仿宋_GB2312" w:eastAsia="仿宋_GB2312"/>
                <w:sz w:val="28"/>
                <w:szCs w:val="28"/>
              </w:rPr>
            </w:pPr>
            <w:r>
              <w:rPr>
                <w:rFonts w:hint="eastAsia" w:ascii="仿宋_GB2312" w:eastAsia="仿宋_GB2312"/>
                <w:sz w:val="28"/>
                <w:szCs w:val="28"/>
              </w:rPr>
              <w:t>课程类型</w:t>
            </w:r>
          </w:p>
        </w:tc>
        <w:tc>
          <w:tcPr>
            <w:tcW w:w="5947" w:type="dxa"/>
            <w:tcBorders>
              <w:top w:val="single" w:color="auto" w:sz="4" w:space="0"/>
              <w:bottom w:val="single" w:color="auto" w:sz="4" w:space="0"/>
            </w:tcBorders>
            <w:shd w:val="clear" w:color="auto" w:fill="auto"/>
          </w:tcPr>
          <w:p>
            <w:pPr>
              <w:spacing w:line="480" w:lineRule="auto"/>
              <w:jc w:val="center"/>
              <w:rPr>
                <w:rFonts w:hint="eastAsia" w:ascii="仿宋_GB2312" w:eastAsia="仿宋_GB2312"/>
                <w:w w:val="95"/>
                <w:sz w:val="28"/>
                <w:szCs w:val="28"/>
              </w:rPr>
            </w:pPr>
            <w:r>
              <w:rPr>
                <w:rFonts w:hint="eastAsia" w:ascii="仿宋_GB2312" w:eastAsia="仿宋_GB2312"/>
                <w:szCs w:val="21"/>
              </w:rPr>
              <w:t>□理论课</w:t>
            </w:r>
            <w:r>
              <w:rPr>
                <w:rFonts w:hint="eastAsia" w:ascii="仿宋_GB2312" w:eastAsia="仿宋_GB2312"/>
                <w:w w:val="95"/>
                <w:szCs w:val="21"/>
              </w:rPr>
              <w:t>（不含实践）</w:t>
            </w:r>
            <w:r>
              <w:rPr>
                <w:rFonts w:hint="eastAsia" w:ascii="仿宋_GB2312" w:eastAsia="仿宋_GB2312"/>
                <w:szCs w:val="21"/>
              </w:rPr>
              <w:t>■</w:t>
            </w:r>
            <w:r>
              <w:rPr>
                <w:rFonts w:hint="eastAsia" w:ascii="仿宋_GB2312" w:eastAsia="仿宋_GB2312"/>
                <w:w w:val="95"/>
                <w:szCs w:val="21"/>
              </w:rPr>
              <w:t>理论课（含实践）□实验(践)课</w:t>
            </w:r>
          </w:p>
        </w:tc>
      </w:tr>
      <w:tr>
        <w:tblPrEx>
          <w:tblLayout w:type="fixed"/>
          <w:tblCellMar>
            <w:top w:w="0" w:type="dxa"/>
            <w:left w:w="108" w:type="dxa"/>
            <w:bottom w:w="0" w:type="dxa"/>
            <w:right w:w="108" w:type="dxa"/>
          </w:tblCellMar>
        </w:tblPrEx>
        <w:trPr>
          <w:jc w:val="center"/>
        </w:trPr>
        <w:tc>
          <w:tcPr>
            <w:tcW w:w="2575" w:type="dxa"/>
            <w:shd w:val="clear" w:color="auto" w:fill="auto"/>
          </w:tcPr>
          <w:p>
            <w:pPr>
              <w:spacing w:line="480" w:lineRule="auto"/>
              <w:jc w:val="distribute"/>
              <w:rPr>
                <w:rFonts w:hint="eastAsia" w:ascii="仿宋_GB2312" w:eastAsia="仿宋_GB2312"/>
                <w:sz w:val="28"/>
                <w:szCs w:val="28"/>
              </w:rPr>
            </w:pPr>
            <w:r>
              <w:rPr>
                <w:rFonts w:hint="eastAsia" w:ascii="仿宋_GB2312" w:eastAsia="仿宋_GB2312"/>
                <w:sz w:val="28"/>
                <w:szCs w:val="28"/>
              </w:rPr>
              <w:t>所属一级学科名称</w:t>
            </w:r>
          </w:p>
        </w:tc>
        <w:tc>
          <w:tcPr>
            <w:tcW w:w="5947" w:type="dxa"/>
            <w:tcBorders>
              <w:top w:val="single" w:color="auto" w:sz="4" w:space="0"/>
              <w:bottom w:val="single" w:color="auto" w:sz="4" w:space="0"/>
            </w:tcBorders>
            <w:shd w:val="clear" w:color="auto" w:fill="auto"/>
          </w:tcPr>
          <w:p>
            <w:pPr>
              <w:spacing w:line="480" w:lineRule="auto"/>
              <w:jc w:val="center"/>
              <w:rPr>
                <w:rFonts w:hint="eastAsia" w:ascii="仿宋_GB2312" w:eastAsia="仿宋_GB2312"/>
                <w:sz w:val="28"/>
                <w:szCs w:val="28"/>
              </w:rPr>
            </w:pPr>
            <w:r>
              <w:rPr>
                <w:rFonts w:hint="eastAsia" w:ascii="仿宋_GB2312" w:eastAsia="仿宋_GB2312"/>
                <w:sz w:val="28"/>
                <w:szCs w:val="28"/>
              </w:rPr>
              <w:t>美术学</w:t>
            </w:r>
          </w:p>
        </w:tc>
      </w:tr>
      <w:tr>
        <w:tblPrEx>
          <w:tblLayout w:type="fixed"/>
          <w:tblCellMar>
            <w:top w:w="0" w:type="dxa"/>
            <w:left w:w="108" w:type="dxa"/>
            <w:bottom w:w="0" w:type="dxa"/>
            <w:right w:w="108" w:type="dxa"/>
          </w:tblCellMar>
        </w:tblPrEx>
        <w:trPr>
          <w:jc w:val="center"/>
        </w:trPr>
        <w:tc>
          <w:tcPr>
            <w:tcW w:w="2575" w:type="dxa"/>
            <w:shd w:val="clear" w:color="auto" w:fill="auto"/>
          </w:tcPr>
          <w:p>
            <w:pPr>
              <w:spacing w:line="480" w:lineRule="auto"/>
              <w:jc w:val="distribute"/>
              <w:rPr>
                <w:rFonts w:hint="eastAsia" w:ascii="仿宋_GB2312" w:eastAsia="仿宋_GB2312"/>
                <w:sz w:val="28"/>
                <w:szCs w:val="28"/>
              </w:rPr>
            </w:pPr>
            <w:r>
              <w:rPr>
                <w:rFonts w:hint="eastAsia" w:ascii="仿宋_GB2312" w:eastAsia="仿宋_GB2312"/>
                <w:sz w:val="28"/>
                <w:szCs w:val="28"/>
              </w:rPr>
              <w:t>所属二级学科名称</w:t>
            </w:r>
          </w:p>
        </w:tc>
        <w:tc>
          <w:tcPr>
            <w:tcW w:w="5947" w:type="dxa"/>
            <w:tcBorders>
              <w:top w:val="single" w:color="auto" w:sz="4" w:space="0"/>
              <w:bottom w:val="single" w:color="auto" w:sz="4" w:space="0"/>
            </w:tcBorders>
            <w:shd w:val="clear" w:color="auto" w:fill="auto"/>
          </w:tcPr>
          <w:p>
            <w:pPr>
              <w:spacing w:line="480" w:lineRule="auto"/>
              <w:jc w:val="center"/>
              <w:rPr>
                <w:rFonts w:hint="eastAsia" w:ascii="仿宋_GB2312" w:eastAsia="仿宋_GB2312"/>
                <w:sz w:val="28"/>
                <w:szCs w:val="28"/>
              </w:rPr>
            </w:pPr>
            <w:r>
              <w:rPr>
                <w:rFonts w:hint="eastAsia" w:ascii="仿宋_GB2312" w:eastAsia="仿宋_GB2312"/>
                <w:sz w:val="28"/>
                <w:szCs w:val="28"/>
              </w:rPr>
              <w:t>美术学</w:t>
            </w:r>
          </w:p>
        </w:tc>
      </w:tr>
      <w:tr>
        <w:tblPrEx>
          <w:tblLayout w:type="fixed"/>
          <w:tblCellMar>
            <w:top w:w="0" w:type="dxa"/>
            <w:left w:w="108" w:type="dxa"/>
            <w:bottom w:w="0" w:type="dxa"/>
            <w:right w:w="108" w:type="dxa"/>
          </w:tblCellMar>
        </w:tblPrEx>
        <w:trPr>
          <w:jc w:val="center"/>
        </w:trPr>
        <w:tc>
          <w:tcPr>
            <w:tcW w:w="2575" w:type="dxa"/>
            <w:shd w:val="clear" w:color="auto" w:fill="auto"/>
          </w:tcPr>
          <w:p>
            <w:pPr>
              <w:spacing w:line="480" w:lineRule="auto"/>
              <w:jc w:val="distribute"/>
              <w:rPr>
                <w:rFonts w:hint="eastAsia" w:ascii="仿宋_GB2312" w:eastAsia="仿宋_GB2312"/>
                <w:sz w:val="28"/>
                <w:szCs w:val="28"/>
              </w:rPr>
            </w:pPr>
            <w:r>
              <w:rPr>
                <w:rFonts w:hint="eastAsia" w:ascii="仿宋_GB2312" w:eastAsia="仿宋_GB2312"/>
                <w:sz w:val="28"/>
                <w:szCs w:val="28"/>
              </w:rPr>
              <w:t>课程负责人</w:t>
            </w:r>
          </w:p>
        </w:tc>
        <w:tc>
          <w:tcPr>
            <w:tcW w:w="5947" w:type="dxa"/>
            <w:tcBorders>
              <w:top w:val="single" w:color="auto" w:sz="4" w:space="0"/>
              <w:bottom w:val="single" w:color="auto" w:sz="4" w:space="0"/>
            </w:tcBorders>
            <w:shd w:val="clear" w:color="auto" w:fill="auto"/>
          </w:tcPr>
          <w:p>
            <w:pPr>
              <w:spacing w:line="480" w:lineRule="auto"/>
              <w:jc w:val="center"/>
              <w:rPr>
                <w:rFonts w:hint="eastAsia" w:ascii="仿宋_GB2312" w:eastAsia="仿宋_GB2312"/>
                <w:sz w:val="28"/>
                <w:szCs w:val="28"/>
              </w:rPr>
            </w:pPr>
            <w:r>
              <w:rPr>
                <w:rFonts w:hint="eastAsia" w:ascii="仿宋_GB2312" w:eastAsia="仿宋_GB2312"/>
                <w:sz w:val="28"/>
                <w:szCs w:val="28"/>
              </w:rPr>
              <w:t>刘洪</w:t>
            </w:r>
          </w:p>
        </w:tc>
      </w:tr>
      <w:tr>
        <w:tblPrEx>
          <w:tblLayout w:type="fixed"/>
          <w:tblCellMar>
            <w:top w:w="0" w:type="dxa"/>
            <w:left w:w="108" w:type="dxa"/>
            <w:bottom w:w="0" w:type="dxa"/>
            <w:right w:w="108" w:type="dxa"/>
          </w:tblCellMar>
        </w:tblPrEx>
        <w:trPr>
          <w:jc w:val="center"/>
        </w:trPr>
        <w:tc>
          <w:tcPr>
            <w:tcW w:w="2575" w:type="dxa"/>
            <w:shd w:val="clear" w:color="auto" w:fill="auto"/>
          </w:tcPr>
          <w:p>
            <w:pPr>
              <w:spacing w:line="480" w:lineRule="auto"/>
              <w:jc w:val="distribute"/>
              <w:rPr>
                <w:rFonts w:hint="eastAsia" w:ascii="仿宋_GB2312" w:eastAsia="仿宋_GB2312"/>
                <w:sz w:val="28"/>
                <w:szCs w:val="28"/>
              </w:rPr>
            </w:pPr>
            <w:r>
              <w:rPr>
                <w:rFonts w:hint="eastAsia" w:ascii="仿宋_GB2312" w:eastAsia="仿宋_GB2312"/>
                <w:sz w:val="28"/>
                <w:szCs w:val="28"/>
              </w:rPr>
              <w:t>立项日期</w:t>
            </w:r>
          </w:p>
        </w:tc>
        <w:tc>
          <w:tcPr>
            <w:tcW w:w="5947" w:type="dxa"/>
            <w:tcBorders>
              <w:top w:val="single" w:color="auto" w:sz="4" w:space="0"/>
              <w:bottom w:val="single" w:color="auto" w:sz="4" w:space="0"/>
            </w:tcBorders>
            <w:shd w:val="clear" w:color="auto" w:fill="auto"/>
          </w:tcPr>
          <w:p>
            <w:pPr>
              <w:spacing w:line="480" w:lineRule="auto"/>
              <w:jc w:val="center"/>
              <w:rPr>
                <w:rFonts w:hint="eastAsia" w:ascii="仿宋_GB2312" w:eastAsia="仿宋_GB2312"/>
                <w:sz w:val="28"/>
                <w:szCs w:val="28"/>
              </w:rPr>
            </w:pPr>
            <w:r>
              <w:rPr>
                <w:rFonts w:hint="eastAsia" w:ascii="仿宋_GB2312" w:eastAsia="仿宋_GB2312"/>
                <w:sz w:val="28"/>
                <w:szCs w:val="28"/>
              </w:rPr>
              <w:t>20</w:t>
            </w:r>
            <w:r>
              <w:rPr>
                <w:rFonts w:hint="eastAsia" w:ascii="仿宋_GB2312" w:eastAsia="仿宋_GB2312"/>
                <w:sz w:val="28"/>
                <w:szCs w:val="28"/>
                <w:lang w:val="en-US" w:eastAsia="zh-CN"/>
              </w:rPr>
              <w:t>07</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p>
        </w:tc>
      </w:tr>
    </w:tbl>
    <w:p>
      <w:pPr>
        <w:tabs>
          <w:tab w:val="left" w:pos="7110"/>
        </w:tabs>
        <w:jc w:val="left"/>
        <w:rPr>
          <w:rFonts w:hint="eastAsia" w:ascii="宋体" w:hAnsi="宋体"/>
          <w:b/>
          <w:sz w:val="36"/>
          <w:szCs w:val="36"/>
        </w:rPr>
      </w:pPr>
      <w:r>
        <w:rPr>
          <w:rFonts w:ascii="宋体" w:hAnsi="宋体"/>
          <w:b/>
          <w:sz w:val="36"/>
          <w:szCs w:val="36"/>
        </w:rPr>
        <w:tab/>
      </w: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snapToGrid w:val="0"/>
        <w:spacing w:line="360" w:lineRule="auto"/>
        <w:jc w:val="center"/>
        <w:rPr>
          <w:rFonts w:hint="eastAsia" w:ascii="仿宋_GB2312" w:hAnsi="宋体" w:eastAsia="仿宋_GB2312"/>
          <w:sz w:val="28"/>
        </w:rPr>
      </w:pPr>
      <w:r>
        <w:rPr>
          <w:rFonts w:hint="eastAsia" w:ascii="仿宋_GB2312" w:hAnsi="宋体" w:eastAsia="仿宋_GB2312"/>
          <w:sz w:val="28"/>
        </w:rPr>
        <w:t>石河子大学教务处制</w:t>
      </w:r>
    </w:p>
    <w:p>
      <w:pPr>
        <w:rPr>
          <w:rFonts w:hint="eastAsia" w:ascii="宋体" w:hAnsi="宋体"/>
          <w:b/>
          <w:bCs/>
          <w:sz w:val="32"/>
        </w:rPr>
      </w:pPr>
    </w:p>
    <w:p>
      <w:pPr>
        <w:rPr>
          <w:rFonts w:hint="eastAsia"/>
        </w:rPr>
      </w:pPr>
    </w:p>
    <w:p>
      <w:pPr>
        <w:spacing w:line="360" w:lineRule="auto"/>
        <w:jc w:val="center"/>
        <w:rPr>
          <w:rFonts w:hint="eastAsia"/>
          <w:b/>
          <w:sz w:val="32"/>
          <w:szCs w:val="32"/>
        </w:rPr>
      </w:pPr>
    </w:p>
    <w:p>
      <w:pPr>
        <w:spacing w:line="360" w:lineRule="auto"/>
        <w:rPr>
          <w:rFonts w:hint="eastAsia"/>
          <w:sz w:val="24"/>
          <w:szCs w:val="24"/>
        </w:rPr>
      </w:pPr>
      <w:r>
        <w:rPr>
          <w:rFonts w:hint="eastAsia"/>
          <w:sz w:val="24"/>
          <w:szCs w:val="24"/>
        </w:rPr>
        <w:t xml:space="preserve">   </w:t>
      </w:r>
      <w:r>
        <w:rPr>
          <w:rFonts w:hint="eastAsia" w:asciiTheme="minorEastAsia" w:hAnsiTheme="minorEastAsia" w:eastAsiaTheme="minorEastAsia" w:cstheme="minorEastAsia"/>
          <w:sz w:val="24"/>
          <w:szCs w:val="24"/>
          <w:lang w:val="en-US" w:eastAsia="zh-CN"/>
        </w:rPr>
        <w:t>2015</w:t>
      </w:r>
      <w:r>
        <w:rPr>
          <w:rFonts w:hint="eastAsia" w:asciiTheme="majorEastAsia" w:hAnsiTheme="majorEastAsia" w:eastAsiaTheme="majorEastAsia" w:cstheme="majorEastAsia"/>
          <w:sz w:val="24"/>
          <w:szCs w:val="24"/>
          <w:lang w:val="en-US" w:eastAsia="zh-CN"/>
        </w:rPr>
        <w:t>年</w:t>
      </w:r>
      <w:r>
        <w:rPr>
          <w:rFonts w:hint="eastAsia"/>
          <w:sz w:val="24"/>
          <w:szCs w:val="24"/>
        </w:rPr>
        <w:t>《色彩画》</w:t>
      </w:r>
      <w:r>
        <w:rPr>
          <w:rFonts w:hint="eastAsia"/>
          <w:sz w:val="24"/>
          <w:szCs w:val="24"/>
          <w:lang w:eastAsia="zh-CN"/>
        </w:rPr>
        <w:t>精品</w:t>
      </w:r>
      <w:r>
        <w:rPr>
          <w:rFonts w:hint="eastAsia"/>
          <w:sz w:val="24"/>
          <w:szCs w:val="24"/>
        </w:rPr>
        <w:t>课程</w:t>
      </w:r>
      <w:r>
        <w:rPr>
          <w:rFonts w:hint="eastAsia"/>
          <w:sz w:val="24"/>
          <w:szCs w:val="24"/>
          <w:lang w:eastAsia="zh-CN"/>
        </w:rPr>
        <w:t>继续</w:t>
      </w:r>
      <w:r>
        <w:rPr>
          <w:rFonts w:hint="eastAsia"/>
          <w:sz w:val="24"/>
          <w:szCs w:val="24"/>
        </w:rPr>
        <w:t>着重</w:t>
      </w:r>
      <w:r>
        <w:rPr>
          <w:rFonts w:hint="eastAsia"/>
          <w:sz w:val="24"/>
          <w:szCs w:val="24"/>
          <w:lang w:eastAsia="zh-CN"/>
        </w:rPr>
        <w:t>于</w:t>
      </w:r>
      <w:r>
        <w:rPr>
          <w:rFonts w:hint="eastAsia"/>
          <w:sz w:val="24"/>
          <w:szCs w:val="24"/>
        </w:rPr>
        <w:t>课程体系的建设</w:t>
      </w:r>
      <w:r>
        <w:rPr>
          <w:rFonts w:hint="eastAsia"/>
          <w:sz w:val="24"/>
          <w:szCs w:val="24"/>
          <w:lang w:eastAsia="zh-CN"/>
        </w:rPr>
        <w:t>和</w:t>
      </w:r>
      <w:r>
        <w:rPr>
          <w:rFonts w:hint="eastAsia"/>
          <w:sz w:val="24"/>
          <w:szCs w:val="24"/>
        </w:rPr>
        <w:t>具体课程</w:t>
      </w:r>
      <w:r>
        <w:rPr>
          <w:rFonts w:hint="eastAsia"/>
          <w:sz w:val="24"/>
          <w:szCs w:val="24"/>
          <w:lang w:eastAsia="zh-CN"/>
        </w:rPr>
        <w:t>安排</w:t>
      </w:r>
      <w:r>
        <w:rPr>
          <w:rFonts w:hint="eastAsia"/>
          <w:sz w:val="24"/>
          <w:szCs w:val="24"/>
        </w:rPr>
        <w:t>的建设。</w:t>
      </w:r>
      <w:r>
        <w:rPr>
          <w:rFonts w:hint="eastAsia"/>
          <w:sz w:val="24"/>
          <w:szCs w:val="24"/>
          <w:lang w:eastAsia="zh-CN"/>
        </w:rPr>
        <w:t>继续</w:t>
      </w:r>
      <w:r>
        <w:rPr>
          <w:rFonts w:hint="eastAsia"/>
          <w:sz w:val="24"/>
          <w:szCs w:val="24"/>
        </w:rPr>
        <w:t>通过精品课程的示范</w:t>
      </w:r>
      <w:bookmarkStart w:id="0" w:name="_GoBack"/>
      <w:bookmarkEnd w:id="0"/>
      <w:r>
        <w:rPr>
          <w:rFonts w:hint="eastAsia"/>
          <w:sz w:val="24"/>
          <w:szCs w:val="24"/>
        </w:rPr>
        <w:t>效应，再来带动</w:t>
      </w:r>
      <w:r>
        <w:rPr>
          <w:rFonts w:hint="eastAsia"/>
          <w:sz w:val="24"/>
          <w:szCs w:val="24"/>
          <w:lang w:eastAsia="zh-CN"/>
        </w:rPr>
        <w:t>美术学</w:t>
      </w:r>
      <w:r>
        <w:rPr>
          <w:rFonts w:hint="eastAsia"/>
          <w:sz w:val="24"/>
          <w:szCs w:val="24"/>
        </w:rPr>
        <w:t>课程整体水平的提高，形成课程建设的良性循环。现将《色彩画》精品课程建设情况做以下总结：</w:t>
      </w:r>
    </w:p>
    <w:p>
      <w:pPr>
        <w:spacing w:line="360" w:lineRule="auto"/>
        <w:rPr>
          <w:rFonts w:hint="eastAsia"/>
          <w:b/>
          <w:sz w:val="24"/>
          <w:szCs w:val="24"/>
        </w:rPr>
      </w:pPr>
      <w:r>
        <w:rPr>
          <w:rFonts w:hint="eastAsia"/>
          <w:b/>
          <w:sz w:val="24"/>
          <w:szCs w:val="24"/>
        </w:rPr>
        <w:t>一．教材建设是基础</w:t>
      </w:r>
    </w:p>
    <w:p>
      <w:pPr>
        <w:spacing w:line="360" w:lineRule="auto"/>
        <w:rPr>
          <w:rFonts w:hint="eastAsia"/>
          <w:sz w:val="24"/>
          <w:szCs w:val="24"/>
        </w:rPr>
      </w:pPr>
      <w:r>
        <w:rPr>
          <w:rFonts w:hint="eastAsia"/>
          <w:sz w:val="24"/>
          <w:szCs w:val="24"/>
        </w:rPr>
        <w:t xml:space="preserve">    </w:t>
      </w:r>
      <w:r>
        <w:rPr>
          <w:rFonts w:hint="eastAsia"/>
          <w:sz w:val="24"/>
          <w:szCs w:val="24"/>
          <w:lang w:eastAsia="zh-CN"/>
        </w:rPr>
        <w:t>继续完善教材的充实性工作、做到教材的最大利用化，使教材在课堂上与课后起到具有实际意义的指导教学与学生学习的工具。</w:t>
      </w:r>
      <w:r>
        <w:rPr>
          <w:rFonts w:hint="eastAsia"/>
          <w:sz w:val="24"/>
          <w:szCs w:val="24"/>
        </w:rPr>
        <w:t>（教材详见教学资源下的参考资料）</w:t>
      </w:r>
    </w:p>
    <w:p>
      <w:pPr>
        <w:spacing w:line="360" w:lineRule="auto"/>
        <w:rPr>
          <w:rFonts w:hint="eastAsia"/>
          <w:b/>
          <w:sz w:val="24"/>
          <w:szCs w:val="24"/>
        </w:rPr>
      </w:pPr>
      <w:r>
        <w:rPr>
          <w:rFonts w:hint="eastAsia"/>
          <w:b/>
          <w:sz w:val="24"/>
          <w:szCs w:val="24"/>
        </w:rPr>
        <w:t>二．教师队伍建设</w:t>
      </w:r>
    </w:p>
    <w:p>
      <w:pPr>
        <w:spacing w:line="360" w:lineRule="auto"/>
        <w:rPr>
          <w:rFonts w:hint="eastAsia"/>
          <w:sz w:val="24"/>
          <w:szCs w:val="24"/>
        </w:rPr>
      </w:pPr>
      <w:r>
        <w:rPr>
          <w:rFonts w:hint="eastAsia"/>
          <w:sz w:val="24"/>
          <w:szCs w:val="24"/>
        </w:rPr>
        <w:t xml:space="preserve">   </w:t>
      </w:r>
      <w:r>
        <w:rPr>
          <w:rFonts w:hint="eastAsia"/>
          <w:sz w:val="24"/>
          <w:szCs w:val="24"/>
          <w:lang w:eastAsia="zh-CN"/>
        </w:rPr>
        <w:t>在原有主讲教师的基础上继续引进了新的年轻教师</w:t>
      </w:r>
      <w:r>
        <w:rPr>
          <w:rFonts w:hint="eastAsia"/>
          <w:sz w:val="24"/>
          <w:szCs w:val="24"/>
        </w:rPr>
        <w:t>，形成了一支结构合理、人员稳定、教学水平高、教学效果好的教师梯队。</w:t>
      </w:r>
    </w:p>
    <w:p>
      <w:pPr>
        <w:spacing w:line="360" w:lineRule="auto"/>
        <w:ind w:firstLine="482" w:firstLineChars="200"/>
        <w:rPr>
          <w:rFonts w:hint="eastAsia"/>
          <w:b/>
          <w:sz w:val="24"/>
          <w:szCs w:val="24"/>
        </w:rPr>
      </w:pPr>
      <w:r>
        <w:rPr>
          <w:rFonts w:hint="eastAsia"/>
          <w:b/>
          <w:sz w:val="24"/>
          <w:szCs w:val="24"/>
        </w:rPr>
        <w:t>1. 主讲发挥核心作用</w:t>
      </w:r>
    </w:p>
    <w:p>
      <w:pPr>
        <w:spacing w:line="360" w:lineRule="auto"/>
        <w:rPr>
          <w:rFonts w:hint="eastAsia"/>
          <w:sz w:val="24"/>
          <w:szCs w:val="24"/>
        </w:rPr>
      </w:pPr>
      <w:r>
        <w:rPr>
          <w:rFonts w:hint="eastAsia"/>
          <w:sz w:val="24"/>
          <w:szCs w:val="24"/>
        </w:rPr>
        <w:t xml:space="preserve">    在精品课程建设中，课程负责人的直接策划下各位教师充分发挥各自在学术方面的专长，确立以主讲教授为核心的作用，年轻教师努力发挥潜力，在以科研创作促进教学的课程建设导向中，整体教学团队取得了良好的教学效果。我们主要采取了三种方式，一是公开课制度，主讲教师进行教学示范，相关教师听课，进行经验交流；二是开展定期的教学研讨活动，针对教学中存在的各类问题进行讨论；三是一对一的“传、帮、带”活动，由有经验的教师帮助年轻教师提高水平，深化教学效果。通过以上三种方法，使得经验丰富教师的宝贵授课经验得以传播，从整体上提升了教学团队的教学质量。</w:t>
      </w:r>
    </w:p>
    <w:p>
      <w:pPr>
        <w:spacing w:line="360" w:lineRule="auto"/>
        <w:ind w:firstLine="482" w:firstLineChars="200"/>
        <w:rPr>
          <w:rFonts w:hint="eastAsia"/>
          <w:b/>
          <w:sz w:val="24"/>
          <w:szCs w:val="24"/>
        </w:rPr>
      </w:pPr>
      <w:r>
        <w:rPr>
          <w:rFonts w:hint="eastAsia"/>
          <w:b/>
          <w:sz w:val="24"/>
          <w:szCs w:val="24"/>
        </w:rPr>
        <w:t>2. 注重对年轻教师的培养</w:t>
      </w:r>
    </w:p>
    <w:p>
      <w:pPr>
        <w:spacing w:line="360" w:lineRule="auto"/>
        <w:rPr>
          <w:rFonts w:hint="eastAsia"/>
          <w:sz w:val="24"/>
          <w:szCs w:val="24"/>
        </w:rPr>
      </w:pPr>
      <w:r>
        <w:rPr>
          <w:rFonts w:hint="eastAsia"/>
          <w:sz w:val="24"/>
          <w:szCs w:val="24"/>
        </w:rPr>
        <w:t xml:space="preserve">    年轻教师是一支不容忽视的力量。作为一个学术团队，对年轻教师的培养是课程建设的重要组成部分。课程的可持续发展有赖于年轻人对学术传统的传承与弘扬，也有赖于其自身学术修养的提升。年轻教师存在着教学经验不够丰富的弱点，但是其具有较强的学术发展潜力，为了提升年轻教师的教学和科研水平，除了前面所提到的各种具体方法外，团队在年轻教师的培养方面做出长远规划，鼓励他们取得高学历，评定高一级职称，积极进行创作活动参加展览，以提高在业内的认知度。通过几年来的建设，《色彩画》精品课程团队的学历层次、职称层次、艺术创作成果都有了较大提高。</w:t>
      </w:r>
    </w:p>
    <w:p>
      <w:pPr>
        <w:spacing w:line="360" w:lineRule="auto"/>
        <w:ind w:firstLine="482" w:firstLineChars="200"/>
        <w:rPr>
          <w:rFonts w:hint="eastAsia"/>
          <w:b/>
          <w:sz w:val="24"/>
          <w:szCs w:val="24"/>
        </w:rPr>
      </w:pPr>
      <w:r>
        <w:rPr>
          <w:rFonts w:hint="eastAsia"/>
          <w:b/>
          <w:sz w:val="24"/>
          <w:szCs w:val="24"/>
        </w:rPr>
        <w:t>3. 教师结构</w:t>
      </w:r>
      <w:r>
        <w:rPr>
          <w:rFonts w:hint="eastAsia"/>
          <w:b/>
          <w:sz w:val="24"/>
          <w:szCs w:val="24"/>
          <w:lang w:eastAsia="zh-CN"/>
        </w:rPr>
        <w:t>继续合理化</w:t>
      </w:r>
    </w:p>
    <w:p>
      <w:pPr>
        <w:spacing w:line="360" w:lineRule="auto"/>
        <w:ind w:firstLine="480" w:firstLineChars="200"/>
        <w:rPr>
          <w:rFonts w:hint="eastAsia"/>
          <w:sz w:val="24"/>
          <w:szCs w:val="24"/>
        </w:rPr>
      </w:pPr>
      <w:r>
        <w:rPr>
          <w:rFonts w:hint="eastAsia"/>
          <w:sz w:val="24"/>
          <w:szCs w:val="24"/>
          <w:lang w:eastAsia="zh-CN"/>
        </w:rPr>
        <w:t>至</w:t>
      </w:r>
      <w:r>
        <w:rPr>
          <w:rFonts w:hint="eastAsia"/>
          <w:sz w:val="24"/>
          <w:szCs w:val="24"/>
          <w:lang w:val="en-US" w:eastAsia="zh-CN"/>
        </w:rPr>
        <w:t>2015年</w:t>
      </w:r>
      <w:r>
        <w:rPr>
          <w:rFonts w:hint="eastAsia"/>
          <w:sz w:val="24"/>
          <w:szCs w:val="24"/>
        </w:rPr>
        <w:t>课程组教师9人，其中教授2名，副教授</w:t>
      </w:r>
      <w:r>
        <w:rPr>
          <w:rFonts w:hint="eastAsia"/>
          <w:sz w:val="24"/>
          <w:szCs w:val="24"/>
          <w:lang w:val="en-US" w:eastAsia="zh-CN"/>
        </w:rPr>
        <w:t>2</w:t>
      </w:r>
      <w:r>
        <w:rPr>
          <w:rFonts w:hint="eastAsia"/>
          <w:sz w:val="24"/>
          <w:szCs w:val="24"/>
        </w:rPr>
        <w:t>名、讲师</w:t>
      </w:r>
      <w:r>
        <w:rPr>
          <w:rFonts w:hint="eastAsia"/>
          <w:sz w:val="24"/>
          <w:szCs w:val="24"/>
          <w:lang w:val="en-US" w:eastAsia="zh-CN"/>
        </w:rPr>
        <w:t>5</w:t>
      </w:r>
      <w:r>
        <w:rPr>
          <w:rFonts w:hint="eastAsia"/>
          <w:sz w:val="24"/>
          <w:szCs w:val="24"/>
        </w:rPr>
        <w:t>名。教师中硕士以上学历及在读硕士研究生有</w:t>
      </w:r>
      <w:r>
        <w:rPr>
          <w:rFonts w:hint="eastAsia"/>
          <w:sz w:val="24"/>
          <w:szCs w:val="24"/>
          <w:lang w:val="en-US" w:eastAsia="zh-CN"/>
        </w:rPr>
        <w:t>6</w:t>
      </w:r>
      <w:r>
        <w:rPr>
          <w:rFonts w:hint="eastAsia"/>
          <w:sz w:val="24"/>
          <w:szCs w:val="24"/>
        </w:rPr>
        <w:t>人；37岁以下青年教师4名，30岁以下教师1名。高级职称比例</w:t>
      </w:r>
      <w:r>
        <w:rPr>
          <w:rFonts w:hint="eastAsia"/>
          <w:sz w:val="24"/>
          <w:szCs w:val="24"/>
          <w:lang w:val="en-US" w:eastAsia="zh-CN"/>
        </w:rPr>
        <w:t>45</w:t>
      </w:r>
      <w:r>
        <w:rPr>
          <w:rFonts w:hint="eastAsia"/>
          <w:sz w:val="24"/>
          <w:szCs w:val="24"/>
        </w:rPr>
        <w:t>%；研究生比例</w:t>
      </w:r>
      <w:r>
        <w:rPr>
          <w:rFonts w:hint="eastAsia"/>
          <w:sz w:val="24"/>
          <w:szCs w:val="24"/>
          <w:lang w:val="en-US" w:eastAsia="zh-CN"/>
        </w:rPr>
        <w:t>65</w:t>
      </w:r>
      <w:r>
        <w:rPr>
          <w:rFonts w:hint="eastAsia"/>
          <w:sz w:val="24"/>
          <w:szCs w:val="24"/>
        </w:rPr>
        <w:t>%。</w:t>
      </w:r>
    </w:p>
    <w:p>
      <w:pPr>
        <w:numPr>
          <w:ilvl w:val="0"/>
          <w:numId w:val="1"/>
        </w:numPr>
        <w:spacing w:line="360" w:lineRule="auto"/>
        <w:rPr>
          <w:rFonts w:hint="eastAsia"/>
          <w:b/>
          <w:sz w:val="24"/>
          <w:szCs w:val="24"/>
        </w:rPr>
      </w:pPr>
      <w:r>
        <w:rPr>
          <w:rFonts w:hint="eastAsia"/>
          <w:b/>
          <w:sz w:val="24"/>
          <w:szCs w:val="24"/>
        </w:rPr>
        <w:t>课程体系和教学内容改革</w:t>
      </w:r>
    </w:p>
    <w:p>
      <w:pPr>
        <w:spacing w:line="360" w:lineRule="auto"/>
        <w:ind w:firstLine="480" w:firstLineChars="200"/>
        <w:rPr>
          <w:rFonts w:hint="eastAsia"/>
          <w:sz w:val="24"/>
          <w:szCs w:val="24"/>
          <w:lang w:eastAsia="zh-CN"/>
        </w:rPr>
      </w:pPr>
      <w:r>
        <w:rPr>
          <w:rFonts w:hint="eastAsia"/>
          <w:sz w:val="24"/>
          <w:szCs w:val="24"/>
          <w:lang w:val="en-US" w:eastAsia="zh-CN"/>
        </w:rPr>
        <w:t>1、</w:t>
      </w:r>
      <w:r>
        <w:rPr>
          <w:rFonts w:hint="eastAsia"/>
          <w:sz w:val="24"/>
          <w:szCs w:val="24"/>
          <w:lang w:eastAsia="zh-CN"/>
        </w:rPr>
        <w:t>努力提高课堂教学水平  精品课程建设应充分认识课堂教学水平的重要地位，课堂教学不是单纯意义上简单堆砌，而应是在原有教学过程之上的深加工，包括许多新进展等都能有机的溶为一体，这是体现教学创新观念的关键。</w:t>
      </w:r>
    </w:p>
    <w:p>
      <w:pPr>
        <w:spacing w:line="360" w:lineRule="auto"/>
        <w:ind w:firstLine="480" w:firstLineChars="200"/>
        <w:rPr>
          <w:rFonts w:hint="eastAsia"/>
          <w:sz w:val="24"/>
          <w:szCs w:val="24"/>
          <w:lang w:eastAsia="zh-CN"/>
        </w:rPr>
      </w:pPr>
      <w:r>
        <w:rPr>
          <w:rFonts w:hint="eastAsia"/>
          <w:sz w:val="24"/>
          <w:szCs w:val="24"/>
          <w:lang w:val="en-US" w:eastAsia="zh-CN"/>
        </w:rPr>
        <w:t>2、</w:t>
      </w:r>
      <w:r>
        <w:rPr>
          <w:rFonts w:hint="eastAsia"/>
          <w:sz w:val="24"/>
          <w:szCs w:val="24"/>
          <w:lang w:eastAsia="zh-CN"/>
        </w:rPr>
        <w:t>加强实践课教学示范</w:t>
      </w:r>
      <w:r>
        <w:rPr>
          <w:rFonts w:hint="eastAsia"/>
          <w:sz w:val="24"/>
          <w:szCs w:val="24"/>
          <w:lang w:val="en-US" w:eastAsia="zh-CN"/>
        </w:rPr>
        <w:t xml:space="preserve">  技能技法的实践性示范是专业教学不可替代的主要环节。</w:t>
      </w:r>
      <w:r>
        <w:rPr>
          <w:rFonts w:hint="eastAsia"/>
          <w:sz w:val="24"/>
          <w:szCs w:val="24"/>
          <w:lang w:eastAsia="zh-CN"/>
        </w:rPr>
        <w:t>打破原来教学中偏重课堂教学的局面，加大艺术实践教学和理论课教学的比重。</w:t>
      </w:r>
    </w:p>
    <w:p>
      <w:pPr>
        <w:spacing w:line="360" w:lineRule="auto"/>
        <w:rPr>
          <w:rFonts w:hint="eastAsia"/>
          <w:b/>
          <w:sz w:val="24"/>
          <w:szCs w:val="24"/>
        </w:rPr>
      </w:pPr>
      <w:r>
        <w:rPr>
          <w:rFonts w:hint="eastAsia"/>
          <w:b/>
          <w:sz w:val="24"/>
          <w:szCs w:val="24"/>
        </w:rPr>
        <w:t>四．教学环节改革和教学方法创新</w:t>
      </w:r>
    </w:p>
    <w:p>
      <w:pPr>
        <w:spacing w:line="360" w:lineRule="auto"/>
        <w:rPr>
          <w:rFonts w:hint="eastAsia"/>
          <w:sz w:val="24"/>
          <w:szCs w:val="24"/>
        </w:rPr>
      </w:pPr>
      <w:r>
        <w:rPr>
          <w:rFonts w:hint="eastAsia"/>
          <w:sz w:val="24"/>
          <w:szCs w:val="24"/>
        </w:rPr>
        <w:t xml:space="preserve">    课程团队加大在教学环节改革和教学方法创新上的力度，改革传统的教学思想、教学观念、教学方法和教学管理手段，以适应新的时代发展变化。</w:t>
      </w:r>
    </w:p>
    <w:p>
      <w:pPr>
        <w:spacing w:line="360" w:lineRule="auto"/>
        <w:ind w:firstLine="480" w:firstLineChars="200"/>
        <w:rPr>
          <w:rFonts w:hint="eastAsia"/>
          <w:sz w:val="24"/>
          <w:szCs w:val="24"/>
        </w:rPr>
      </w:pPr>
      <w:r>
        <w:rPr>
          <w:rFonts w:hint="eastAsia"/>
          <w:sz w:val="24"/>
          <w:szCs w:val="24"/>
        </w:rPr>
        <w:t>1.备课环节。组织集体备课，探索示范画教学模式。</w:t>
      </w:r>
    </w:p>
    <w:p>
      <w:pPr>
        <w:spacing w:line="360" w:lineRule="auto"/>
        <w:ind w:firstLine="480" w:firstLineChars="200"/>
        <w:rPr>
          <w:rFonts w:hint="eastAsia"/>
          <w:sz w:val="24"/>
          <w:szCs w:val="24"/>
        </w:rPr>
      </w:pPr>
      <w:r>
        <w:rPr>
          <w:rFonts w:hint="eastAsia"/>
          <w:sz w:val="24"/>
          <w:szCs w:val="24"/>
        </w:rPr>
        <w:t>2.绪论部分。用2-6课时阐述教学要求和理念.</w:t>
      </w:r>
    </w:p>
    <w:p>
      <w:pPr>
        <w:spacing w:line="360" w:lineRule="auto"/>
        <w:ind w:firstLine="480" w:firstLineChars="200"/>
        <w:rPr>
          <w:rFonts w:hint="eastAsia"/>
          <w:sz w:val="24"/>
          <w:szCs w:val="24"/>
        </w:rPr>
      </w:pPr>
      <w:r>
        <w:rPr>
          <w:rFonts w:hint="eastAsia"/>
          <w:sz w:val="24"/>
          <w:szCs w:val="24"/>
        </w:rPr>
        <w:t>3.回课。每天第一节集中回课10-30分钟，指出具有普遍性的问题，并集中答疑。</w:t>
      </w:r>
    </w:p>
    <w:p>
      <w:pPr>
        <w:spacing w:line="360" w:lineRule="auto"/>
        <w:ind w:firstLine="480" w:firstLineChars="200"/>
        <w:rPr>
          <w:rFonts w:hint="eastAsia"/>
          <w:sz w:val="24"/>
          <w:szCs w:val="24"/>
        </w:rPr>
      </w:pPr>
      <w:r>
        <w:rPr>
          <w:rFonts w:hint="eastAsia"/>
          <w:sz w:val="24"/>
          <w:szCs w:val="24"/>
        </w:rPr>
        <w:t>4.二次辅导。保证每位学生每天获得二次个别辅导，使学生明确当天研究和解决的问题。</w:t>
      </w:r>
    </w:p>
    <w:p>
      <w:pPr>
        <w:spacing w:line="360" w:lineRule="auto"/>
        <w:ind w:firstLine="480" w:firstLineChars="200"/>
        <w:rPr>
          <w:rFonts w:hint="eastAsia"/>
          <w:sz w:val="24"/>
          <w:szCs w:val="24"/>
        </w:rPr>
      </w:pPr>
      <w:r>
        <w:rPr>
          <w:rFonts w:hint="eastAsia"/>
          <w:sz w:val="24"/>
          <w:szCs w:val="24"/>
        </w:rPr>
        <w:t>5.讲评。凡3</w:t>
      </w:r>
      <w:r>
        <w:rPr>
          <w:rFonts w:hint="eastAsia"/>
          <w:sz w:val="24"/>
          <w:szCs w:val="24"/>
          <w:lang w:val="en-US" w:eastAsia="zh-CN"/>
        </w:rPr>
        <w:t>2</w:t>
      </w:r>
      <w:r>
        <w:rPr>
          <w:rFonts w:hint="eastAsia"/>
          <w:sz w:val="24"/>
          <w:szCs w:val="24"/>
        </w:rPr>
        <w:t>学时单元课，进行一次讲评；64学时以上课程，进行二次集中讲评，讲评可以采用讨论式、答疑式、专题讲座或总结等方式进行。重要讲评组织相关教师听课。</w:t>
      </w:r>
    </w:p>
    <w:p>
      <w:pPr>
        <w:spacing w:line="360" w:lineRule="auto"/>
        <w:ind w:firstLine="482" w:firstLineChars="200"/>
        <w:rPr>
          <w:rFonts w:hint="eastAsia"/>
          <w:b/>
          <w:sz w:val="24"/>
          <w:szCs w:val="24"/>
        </w:rPr>
      </w:pPr>
      <w:r>
        <w:rPr>
          <w:rFonts w:hint="eastAsia"/>
          <w:b/>
          <w:sz w:val="24"/>
          <w:szCs w:val="24"/>
        </w:rPr>
        <w:t>4. 审美化教学理念的运用</w:t>
      </w:r>
    </w:p>
    <w:p>
      <w:pPr>
        <w:spacing w:line="360" w:lineRule="auto"/>
        <w:rPr>
          <w:rFonts w:hint="eastAsia"/>
          <w:sz w:val="24"/>
          <w:szCs w:val="24"/>
        </w:rPr>
      </w:pPr>
      <w:r>
        <w:rPr>
          <w:rFonts w:hint="eastAsia"/>
          <w:sz w:val="24"/>
          <w:szCs w:val="24"/>
        </w:rPr>
        <w:t xml:space="preserve">    教学审美化也称审美化教学，指将所有的教学因素转化为审美对象，是整个教学过程转化为美的欣赏、美的表现和美的创造活动，使整个教学成为内在逻辑和外在形式美高度和谐统一的整体。从而大幅度提高教学效率，减轻学习负担，使师生都充分获得身心愉悦的一种教学思想、教学理论和操作模式。</w:t>
      </w:r>
    </w:p>
    <w:p>
      <w:pPr>
        <w:spacing w:line="360" w:lineRule="auto"/>
        <w:ind w:firstLine="482" w:firstLineChars="200"/>
        <w:rPr>
          <w:rFonts w:hint="eastAsia"/>
          <w:b/>
          <w:sz w:val="24"/>
          <w:szCs w:val="24"/>
        </w:rPr>
      </w:pPr>
      <w:r>
        <w:rPr>
          <w:rFonts w:hint="eastAsia"/>
          <w:b/>
          <w:sz w:val="24"/>
          <w:szCs w:val="24"/>
        </w:rPr>
        <w:t>5.现代多媒体技术的运用</w:t>
      </w:r>
    </w:p>
    <w:p>
      <w:pPr>
        <w:spacing w:line="360" w:lineRule="auto"/>
        <w:rPr>
          <w:rFonts w:hint="eastAsia"/>
          <w:sz w:val="24"/>
          <w:szCs w:val="24"/>
        </w:rPr>
      </w:pPr>
      <w:r>
        <w:rPr>
          <w:rFonts w:hint="eastAsia"/>
          <w:sz w:val="24"/>
          <w:szCs w:val="24"/>
        </w:rPr>
        <w:t xml:space="preserve">    利用网络资源补充教学内容，同时也把最新教案和课件及时上传网络，力争资源共享，服务社会。</w:t>
      </w:r>
    </w:p>
    <w:p>
      <w:pPr>
        <w:spacing w:line="360" w:lineRule="auto"/>
        <w:rPr>
          <w:rFonts w:hint="eastAsia"/>
          <w:b/>
          <w:sz w:val="24"/>
          <w:szCs w:val="24"/>
        </w:rPr>
      </w:pPr>
      <w:r>
        <w:rPr>
          <w:rFonts w:hint="eastAsia"/>
          <w:b/>
          <w:sz w:val="24"/>
          <w:szCs w:val="24"/>
        </w:rPr>
        <w:t>五．继续完善改进的措施</w:t>
      </w:r>
    </w:p>
    <w:p>
      <w:pPr>
        <w:spacing w:line="360" w:lineRule="auto"/>
        <w:ind w:firstLine="480" w:firstLineChars="200"/>
        <w:rPr>
          <w:rFonts w:hint="eastAsia"/>
          <w:sz w:val="24"/>
          <w:szCs w:val="24"/>
        </w:rPr>
      </w:pPr>
      <w:r>
        <w:rPr>
          <w:rFonts w:hint="eastAsia"/>
          <w:sz w:val="24"/>
          <w:szCs w:val="24"/>
        </w:rPr>
        <w:t>《色彩画》精品课程在</w:t>
      </w:r>
      <w:r>
        <w:rPr>
          <w:rFonts w:hint="eastAsia"/>
          <w:sz w:val="24"/>
          <w:szCs w:val="24"/>
          <w:lang w:val="en-US" w:eastAsia="zh-CN"/>
        </w:rPr>
        <w:t>2015年</w:t>
      </w:r>
      <w:r>
        <w:rPr>
          <w:rFonts w:hint="eastAsia"/>
          <w:sz w:val="24"/>
          <w:szCs w:val="24"/>
        </w:rPr>
        <w:t>取得了一些成绩，在今后的课程建设中继续加大几个方面的建设力度：</w:t>
      </w:r>
    </w:p>
    <w:p>
      <w:pPr>
        <w:spacing w:line="360" w:lineRule="auto"/>
        <w:ind w:firstLine="480" w:firstLineChars="200"/>
        <w:rPr>
          <w:rFonts w:hint="eastAsia"/>
          <w:sz w:val="24"/>
          <w:szCs w:val="24"/>
        </w:rPr>
      </w:pPr>
      <w:r>
        <w:rPr>
          <w:rFonts w:hint="eastAsia"/>
          <w:sz w:val="24"/>
          <w:szCs w:val="24"/>
        </w:rPr>
        <w:t>1.争取更大的资金支持，用于教师参加国内外学术交流、考察学习、艺术实践、艺术创作等工作。</w:t>
      </w:r>
    </w:p>
    <w:p>
      <w:pPr>
        <w:spacing w:line="360" w:lineRule="auto"/>
        <w:ind w:firstLine="480" w:firstLineChars="200"/>
        <w:rPr>
          <w:rFonts w:hint="eastAsia"/>
          <w:sz w:val="24"/>
          <w:szCs w:val="24"/>
        </w:rPr>
      </w:pPr>
      <w:r>
        <w:rPr>
          <w:rFonts w:hint="eastAsia"/>
          <w:sz w:val="24"/>
          <w:szCs w:val="24"/>
        </w:rPr>
        <w:t>2.及时更新以下适合教学工作要求的器材设备，继续购买能体现和代表最新学术动态、学术高度的图书，用于师生学习。</w:t>
      </w:r>
    </w:p>
    <w:p>
      <w:pPr>
        <w:spacing w:line="360" w:lineRule="auto"/>
        <w:ind w:firstLine="480" w:firstLineChars="200"/>
        <w:rPr>
          <w:rFonts w:hint="eastAsia"/>
          <w:sz w:val="24"/>
          <w:szCs w:val="24"/>
        </w:rPr>
      </w:pPr>
      <w:r>
        <w:rPr>
          <w:rFonts w:hint="eastAsia"/>
          <w:sz w:val="24"/>
          <w:szCs w:val="24"/>
        </w:rPr>
        <w:t>3.继续加大《色彩画》精品课程的网站建设及管理力度，由兼职负责争取专职负责，并投入经费，及时上传和更新内容，做到资源共享。</w:t>
      </w:r>
    </w:p>
    <w:p>
      <w:pPr>
        <w:spacing w:line="360" w:lineRule="auto"/>
        <w:ind w:firstLine="480" w:firstLineChars="200"/>
        <w:rPr>
          <w:rFonts w:hint="eastAsia"/>
          <w:sz w:val="24"/>
          <w:szCs w:val="24"/>
        </w:rPr>
      </w:pPr>
      <w:r>
        <w:rPr>
          <w:rFonts w:hint="eastAsia"/>
          <w:sz w:val="24"/>
          <w:szCs w:val="24"/>
        </w:rPr>
        <w:t>4.以《色彩画》精品课程为样本的示范性教学工作继续展开，带动我院教学水平整体提高。</w:t>
      </w: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p>
    <w:p>
      <w:pPr>
        <w:spacing w:line="360" w:lineRule="auto"/>
        <w:rPr>
          <w:sz w:val="24"/>
          <w:szCs w:val="24"/>
        </w:rPr>
      </w:pPr>
    </w:p>
    <w:p>
      <w:pPr>
        <w:spacing w:line="360" w:lineRule="auto"/>
        <w:rPr>
          <w:rFonts w:hint="eastAsia"/>
          <w:sz w:val="24"/>
          <w:szCs w:val="24"/>
        </w:rPr>
      </w:pPr>
      <w:r>
        <w:rPr>
          <w:rFonts w:hint="eastAsia"/>
          <w:sz w:val="24"/>
          <w:szCs w:val="24"/>
        </w:rPr>
        <w:t xml:space="preserve">                             石河子大学《色彩画》精品课程组负责人 刘洪</w:t>
      </w:r>
    </w:p>
    <w:p>
      <w:pPr>
        <w:spacing w:line="360" w:lineRule="auto"/>
        <w:rPr>
          <w:sz w:val="24"/>
          <w:szCs w:val="24"/>
        </w:rPr>
      </w:pPr>
      <w:r>
        <w:rPr>
          <w:sz w:val="24"/>
          <w:szCs w:val="24"/>
        </w:rPr>
        <w:t xml:space="preserve">                          </w:t>
      </w:r>
      <w:r>
        <w:rPr>
          <w:rFonts w:hint="eastAsia"/>
          <w:sz w:val="24"/>
          <w:szCs w:val="24"/>
        </w:rPr>
        <w:t xml:space="preserve">                      </w:t>
      </w:r>
      <w:r>
        <w:rPr>
          <w:sz w:val="24"/>
          <w:szCs w:val="24"/>
        </w:rPr>
        <w:t>201</w:t>
      </w:r>
      <w:r>
        <w:rPr>
          <w:rFonts w:hint="eastAsia"/>
          <w:sz w:val="24"/>
          <w:szCs w:val="24"/>
          <w:lang w:val="en-US" w:eastAsia="zh-CN"/>
        </w:rPr>
        <w:t>5</w:t>
      </w:r>
      <w:r>
        <w:rPr>
          <w:sz w:val="24"/>
          <w:szCs w:val="24"/>
        </w:rPr>
        <w:t>.</w:t>
      </w:r>
      <w:r>
        <w:rPr>
          <w:rFonts w:hint="eastAsia"/>
          <w:sz w:val="24"/>
          <w:szCs w:val="24"/>
          <w:lang w:val="en-US" w:eastAsia="zh-CN"/>
        </w:rPr>
        <w:t>11</w:t>
      </w: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8881380">
    <w:nsid w:val="565C2CE4"/>
    <w:multiLevelType w:val="singleLevel"/>
    <w:tmpl w:val="565C2CE4"/>
    <w:lvl w:ilvl="0" w:tentative="1">
      <w:start w:val="3"/>
      <w:numFmt w:val="chineseCounting"/>
      <w:suff w:val="nothing"/>
      <w:lvlText w:val="%1．"/>
      <w:lvlJc w:val="left"/>
    </w:lvl>
  </w:abstractNum>
  <w:num w:numId="1">
    <w:abstractNumId w:val="14488813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0C2"/>
    <w:rsid w:val="003D30C2"/>
    <w:rsid w:val="00532E08"/>
    <w:rsid w:val="005A39E6"/>
    <w:rsid w:val="00CE4C57"/>
    <w:rsid w:val="117E09BE"/>
    <w:rsid w:val="25D04406"/>
    <w:rsid w:val="44EC3190"/>
    <w:rsid w:val="7C617C8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jc w:val="left"/>
    </w:pPr>
    <w:rPr>
      <w:rFonts w:ascii="宋体" w:hAnsi="宋体" w:eastAsia="宋体" w:cs="宋体"/>
      <w:kern w:val="0"/>
      <w:sz w:val="24"/>
      <w:szCs w:val="24"/>
    </w:rPr>
  </w:style>
  <w:style w:type="character" w:styleId="4">
    <w:name w:val="Strong"/>
    <w:basedOn w:val="3"/>
    <w:qFormat/>
    <w:uiPriority w:val="22"/>
    <w:rPr>
      <w:b/>
      <w:bCs/>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367</Words>
  <Characters>2096</Characters>
  <Lines>17</Lines>
  <Paragraphs>4</Paragraphs>
  <ScaleCrop>false</ScaleCrop>
  <LinksUpToDate>false</LinksUpToDate>
  <CharactersWithSpaces>2459</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2015-01-06T09:13:00Z</dcterms:created>
  <dc:creator>liqinzeng155</dc:creator>
  <cp:lastModifiedBy>高承钢</cp:lastModifiedBy>
  <dcterms:modified xsi:type="dcterms:W3CDTF">2015-11-30T11:23:13Z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